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7F" w:rsidRDefault="00AF1FF8" w:rsidP="00AF1FF8">
      <w:pPr>
        <w:jc w:val="center"/>
        <w:rPr>
          <w:rFonts w:ascii="Times New Roman" w:hAnsi="Times New Roman" w:cs="Times New Roman"/>
          <w:b/>
          <w:sz w:val="24"/>
        </w:rPr>
      </w:pPr>
      <w:r w:rsidRPr="00AF1FF8">
        <w:rPr>
          <w:rFonts w:ascii="Times New Roman" w:hAnsi="Times New Roman" w:cs="Times New Roman"/>
          <w:b/>
          <w:sz w:val="24"/>
        </w:rPr>
        <w:t>Tabelas e Figuras</w:t>
      </w:r>
    </w:p>
    <w:p w:rsidR="00AF1FF8" w:rsidRDefault="00AF1FF8" w:rsidP="00AF1FF8">
      <w:pPr>
        <w:jc w:val="both"/>
        <w:rPr>
          <w:rFonts w:ascii="Times New Roman" w:hAnsi="Times New Roman" w:cs="Times New Roman"/>
          <w:b/>
          <w:sz w:val="24"/>
        </w:rPr>
      </w:pPr>
      <w:r w:rsidRPr="00AF1FF8">
        <w:rPr>
          <w:rFonts w:ascii="Times New Roman" w:hAnsi="Times New Roman" w:cs="Times New Roman"/>
          <w:b/>
          <w:sz w:val="24"/>
        </w:rPr>
        <w:t>Tabelas</w:t>
      </w:r>
    </w:p>
    <w:p w:rsidR="00AF1FF8" w:rsidRP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before="100" w:beforeAutospacing="1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F8">
        <w:rPr>
          <w:rFonts w:ascii="Times New Roman" w:hAnsi="Times New Roman" w:cs="Times New Roman"/>
          <w:sz w:val="24"/>
          <w:szCs w:val="24"/>
        </w:rPr>
        <w:t>Tabela 1 – Quadro de análise de variância para número de brotos.</w:t>
      </w:r>
    </w:p>
    <w:tbl>
      <w:tblPr>
        <w:tblW w:w="91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1486"/>
        <w:gridCol w:w="1536"/>
        <w:gridCol w:w="1512"/>
        <w:gridCol w:w="1209"/>
        <w:gridCol w:w="1209"/>
      </w:tblGrid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48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2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2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323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1822,20673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911,103366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4,098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0,0245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90,475507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30,1585502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0,136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0,9383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287,109237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71,777309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0,323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0,8609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O*ANA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5953,69807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496,141506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2,232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0,03*</w:t>
            </w: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8.449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222,329382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corrigido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16602,0061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 (%)=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3"/>
          <w:jc w:val="center"/>
        </w:trPr>
        <w:tc>
          <w:tcPr>
            <w:tcW w:w="21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 geral: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59,647222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observações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</w:tbl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F8">
        <w:rPr>
          <w:rFonts w:ascii="Times New Roman" w:hAnsi="Times New Roman" w:cs="Times New Roman"/>
          <w:sz w:val="24"/>
          <w:szCs w:val="24"/>
        </w:rPr>
        <w:t xml:space="preserve">*Significativo ao nível de 5% de </w:t>
      </w:r>
      <w:proofErr w:type="spellStart"/>
      <w:r w:rsidRPr="00F419F8">
        <w:rPr>
          <w:rFonts w:ascii="Times New Roman" w:hAnsi="Times New Roman" w:cs="Times New Roman"/>
          <w:sz w:val="24"/>
          <w:szCs w:val="24"/>
        </w:rPr>
        <w:t>probabilidade.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Pr="00F419F8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F419F8">
        <w:rPr>
          <w:rFonts w:ascii="Times New Roman" w:hAnsi="Times New Roman" w:cs="Times New Roman"/>
          <w:sz w:val="24"/>
          <w:szCs w:val="24"/>
        </w:rPr>
        <w:t xml:space="preserve"> significativo.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FF8" w:rsidRPr="00025E29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29">
        <w:rPr>
          <w:rFonts w:ascii="Times New Roman" w:hAnsi="Times New Roman" w:cs="Times New Roman"/>
          <w:sz w:val="24"/>
          <w:szCs w:val="24"/>
        </w:rPr>
        <w:t>Tabela 2 – Quadro de análise de variância para desdobramento de ANA dentro de cada nível de K</w:t>
      </w:r>
      <w:r w:rsidRPr="00025E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E29">
        <w:rPr>
          <w:rFonts w:ascii="Times New Roman" w:hAnsi="Times New Roman" w:cs="Times New Roman"/>
          <w:sz w:val="24"/>
          <w:szCs w:val="24"/>
        </w:rPr>
        <w:t>O.</w:t>
      </w:r>
    </w:p>
    <w:tbl>
      <w:tblPr>
        <w:tblW w:w="9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1486"/>
        <w:gridCol w:w="1536"/>
        <w:gridCol w:w="1511"/>
        <w:gridCol w:w="1209"/>
        <w:gridCol w:w="1209"/>
      </w:tblGrid>
      <w:tr w:rsidR="00AF1FF8" w:rsidRPr="00F419F8" w:rsidTr="00264E0F">
        <w:trPr>
          <w:trHeight w:val="265"/>
        </w:trPr>
        <w:tc>
          <w:tcPr>
            <w:tcW w:w="21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48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5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2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2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628,044671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157,011168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0,706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0,592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2105,26678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526,316694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2,367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0,0694*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1347,30323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336,825809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1,515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0,2164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2160,19263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540,048157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2,429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0,0639*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8.449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222,329382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F1FF8" w:rsidRPr="00F419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F8">
        <w:rPr>
          <w:rFonts w:ascii="Times New Roman" w:hAnsi="Times New Roman" w:cs="Times New Roman"/>
          <w:sz w:val="24"/>
          <w:szCs w:val="24"/>
        </w:rPr>
        <w:t>1= 60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>O; 2= 120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>O; 3= 240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>O; 4= 480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 xml:space="preserve">O. *Significativo ao nível de 5% de </w:t>
      </w:r>
      <w:proofErr w:type="spellStart"/>
      <w:r w:rsidRPr="00F419F8">
        <w:rPr>
          <w:rFonts w:ascii="Times New Roman" w:hAnsi="Times New Roman" w:cs="Times New Roman"/>
          <w:sz w:val="24"/>
          <w:szCs w:val="24"/>
        </w:rPr>
        <w:t>probabilidade.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Pr="00F419F8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F419F8">
        <w:rPr>
          <w:rFonts w:ascii="Times New Roman" w:hAnsi="Times New Roman" w:cs="Times New Roman"/>
          <w:sz w:val="24"/>
          <w:szCs w:val="24"/>
        </w:rPr>
        <w:t xml:space="preserve"> significativo.</w:t>
      </w:r>
    </w:p>
    <w:p w:rsidR="00AF1FF8" w:rsidRPr="00BF3537" w:rsidRDefault="00AF1FF8" w:rsidP="00AF1FF8">
      <w:pPr>
        <w:spacing w:after="0" w:line="480" w:lineRule="auto"/>
        <w:ind w:right="-2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3537">
        <w:rPr>
          <w:rFonts w:ascii="Times New Roman" w:hAnsi="Times New Roman" w:cs="Times New Roman"/>
          <w:sz w:val="24"/>
          <w:szCs w:val="24"/>
        </w:rPr>
        <w:t>Tabela 3 – Quadro de análise de variância para espessura de brotos.</w:t>
      </w:r>
    </w:p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1537"/>
        <w:gridCol w:w="1537"/>
        <w:gridCol w:w="1362"/>
        <w:gridCol w:w="1207"/>
        <w:gridCol w:w="1207"/>
      </w:tblGrid>
      <w:tr w:rsidR="00AF1FF8" w:rsidRPr="00F419F8" w:rsidTr="00264E0F">
        <w:trPr>
          <w:trHeight w:val="212"/>
        </w:trPr>
        <w:tc>
          <w:tcPr>
            <w:tcW w:w="2255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FV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362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20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20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BLOCOS</w:t>
            </w: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0,599974</w:t>
            </w:r>
          </w:p>
        </w:tc>
        <w:tc>
          <w:tcPr>
            <w:tcW w:w="1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0,299987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1,178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0,319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0,691415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0,230472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0,4478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1,131868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0,282967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0,3656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O*ANA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2,920882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0,243407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0,5055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9,679472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0,254723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corrigido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15,023612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 (%)=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12,85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 geral: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3,9265742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observações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</w:tbl>
    <w:p w:rsidR="00AF1FF8" w:rsidRPr="00F419F8" w:rsidRDefault="00AF1FF8" w:rsidP="00AF1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Pr="00F419F8">
        <w:rPr>
          <w:rFonts w:ascii="Times New Roman" w:hAnsi="Times New Roman" w:cs="Times New Roman"/>
          <w:sz w:val="24"/>
          <w:szCs w:val="24"/>
        </w:rPr>
        <w:t>Não</w:t>
      </w:r>
      <w:proofErr w:type="spellEnd"/>
      <w:proofErr w:type="gramEnd"/>
      <w:r w:rsidRPr="00F419F8">
        <w:rPr>
          <w:rFonts w:ascii="Times New Roman" w:hAnsi="Times New Roman" w:cs="Times New Roman"/>
          <w:sz w:val="24"/>
          <w:szCs w:val="24"/>
        </w:rPr>
        <w:t xml:space="preserve"> significativo.</w:t>
      </w:r>
    </w:p>
    <w:p w:rsidR="00AF1FF8" w:rsidRPr="00BF3537" w:rsidRDefault="00AF1FF8" w:rsidP="00AF1F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F3537">
        <w:rPr>
          <w:rFonts w:ascii="Times New Roman" w:hAnsi="Times New Roman" w:cs="Times New Roman"/>
          <w:sz w:val="24"/>
          <w:szCs w:val="24"/>
        </w:rPr>
        <w:t>Tabela 4 – Quadro de análise de variância para comprimento de brotos.</w:t>
      </w:r>
    </w:p>
    <w:tbl>
      <w:tblPr>
        <w:tblW w:w="9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1495"/>
        <w:gridCol w:w="1565"/>
        <w:gridCol w:w="1496"/>
        <w:gridCol w:w="1197"/>
        <w:gridCol w:w="1197"/>
      </w:tblGrid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49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6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49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BLOCOS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0,97639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0,488195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0,9609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58,095017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19,365006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0,2092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46,463272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11,615818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0,4459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O*ANA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96,662917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8,055243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0,659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0,7783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464.572.711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12,225598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corrigido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666,770307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 (%)=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21,92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 geral: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15,9526853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observações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</w:tbl>
    <w:p w:rsidR="00AF1FF8" w:rsidRPr="00F419F8" w:rsidRDefault="00AF1FF8" w:rsidP="00AF1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Pr="00F419F8">
        <w:rPr>
          <w:rFonts w:ascii="Times New Roman" w:hAnsi="Times New Roman" w:cs="Times New Roman"/>
          <w:sz w:val="24"/>
          <w:szCs w:val="24"/>
        </w:rPr>
        <w:t>Não</w:t>
      </w:r>
      <w:proofErr w:type="spellEnd"/>
      <w:proofErr w:type="gramEnd"/>
      <w:r w:rsidRPr="00F419F8">
        <w:rPr>
          <w:rFonts w:ascii="Times New Roman" w:hAnsi="Times New Roman" w:cs="Times New Roman"/>
          <w:sz w:val="24"/>
          <w:szCs w:val="24"/>
        </w:rPr>
        <w:t xml:space="preserve"> significativo.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F8">
        <w:rPr>
          <w:rFonts w:ascii="Times New Roman" w:hAnsi="Times New Roman" w:cs="Times New Roman"/>
          <w:b/>
          <w:sz w:val="24"/>
        </w:rPr>
        <w:lastRenderedPageBreak/>
        <w:t>Figuras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F419F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58911F4" wp14:editId="2682B05C">
            <wp:extent cx="5400040" cy="2668780"/>
            <wp:effectExtent l="0" t="0" r="10160" b="177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537">
        <w:rPr>
          <w:rFonts w:ascii="Times New Roman" w:hAnsi="Times New Roman" w:cs="Times New Roman"/>
          <w:sz w:val="24"/>
          <w:szCs w:val="24"/>
        </w:rPr>
        <w:t>Figura 1 – Efeito de diferentes doses de ANA associado à dosagem de 120 Kg ha</w:t>
      </w:r>
      <w:r w:rsidRPr="00BF353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F3537">
        <w:rPr>
          <w:rFonts w:ascii="Times New Roman" w:hAnsi="Times New Roman" w:cs="Times New Roman"/>
          <w:sz w:val="24"/>
          <w:szCs w:val="24"/>
        </w:rPr>
        <w:t xml:space="preserve"> de K</w:t>
      </w:r>
      <w:r w:rsidRPr="00BF35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537">
        <w:rPr>
          <w:rFonts w:ascii="Times New Roman" w:hAnsi="Times New Roman" w:cs="Times New Roman"/>
          <w:sz w:val="24"/>
          <w:szCs w:val="24"/>
        </w:rPr>
        <w:t>O na brotação do café.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FF8" w:rsidRPr="00F419F8" w:rsidRDefault="00AF1FF8" w:rsidP="00AF1FF8">
      <w:pPr>
        <w:spacing w:before="100" w:beforeAutospacing="1" w:after="100" w:afterAutospacing="1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9F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DEA0892" wp14:editId="36579145">
            <wp:extent cx="5759450" cy="28476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1FF8" w:rsidRPr="00BF3537" w:rsidRDefault="00AF1FF8" w:rsidP="00AF1FF8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F3537">
        <w:rPr>
          <w:rFonts w:ascii="Times New Roman" w:hAnsi="Times New Roman" w:cs="Times New Roman"/>
          <w:sz w:val="24"/>
          <w:szCs w:val="24"/>
        </w:rPr>
        <w:t>Figura 2 – Efeito de diferentes doses de ANA associado à dosagem de 480 Kg ha</w:t>
      </w:r>
      <w:r w:rsidRPr="00BF353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F3537">
        <w:rPr>
          <w:rFonts w:ascii="Times New Roman" w:hAnsi="Times New Roman" w:cs="Times New Roman"/>
          <w:sz w:val="24"/>
          <w:szCs w:val="24"/>
        </w:rPr>
        <w:t xml:space="preserve"> de K</w:t>
      </w:r>
      <w:r w:rsidRPr="00BF35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537">
        <w:rPr>
          <w:rFonts w:ascii="Times New Roman" w:hAnsi="Times New Roman" w:cs="Times New Roman"/>
          <w:sz w:val="24"/>
          <w:szCs w:val="24"/>
        </w:rPr>
        <w:t>O na brotação do café</w:t>
      </w:r>
      <w:r w:rsidRPr="00BF3537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:rsidR="00AF1FF8" w:rsidRPr="00BF3537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AF1FF8" w:rsidP="00AF1FF8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T</w:t>
      </w:r>
      <w:r w:rsidRPr="00AF1FF8">
        <w:rPr>
          <w:rFonts w:ascii="Times New Roman" w:hAnsi="Times New Roman" w:cs="Times New Roman"/>
          <w:b/>
          <w:sz w:val="24"/>
        </w:rPr>
        <w:t>ables</w:t>
      </w:r>
      <w:proofErr w:type="spellEnd"/>
      <w:r w:rsidRPr="00AF1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F1FF8">
        <w:rPr>
          <w:rFonts w:ascii="Times New Roman" w:hAnsi="Times New Roman" w:cs="Times New Roman"/>
          <w:b/>
          <w:sz w:val="24"/>
        </w:rPr>
        <w:t>and</w:t>
      </w:r>
      <w:proofErr w:type="spellEnd"/>
      <w:r w:rsidRPr="00AF1FF8">
        <w:rPr>
          <w:rFonts w:ascii="Times New Roman" w:hAnsi="Times New Roman" w:cs="Times New Roman"/>
          <w:b/>
          <w:sz w:val="24"/>
        </w:rPr>
        <w:t xml:space="preserve"> figures</w:t>
      </w:r>
    </w:p>
    <w:p w:rsidR="00AF1FF8" w:rsidRDefault="00AF1FF8" w:rsidP="00AF1FF8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F1FF8">
        <w:rPr>
          <w:rFonts w:ascii="Times New Roman" w:hAnsi="Times New Roman" w:cs="Times New Roman"/>
          <w:b/>
          <w:sz w:val="24"/>
        </w:rPr>
        <w:t>Tab</w:t>
      </w:r>
      <w:r>
        <w:rPr>
          <w:rFonts w:ascii="Times New Roman" w:hAnsi="Times New Roman" w:cs="Times New Roman"/>
          <w:b/>
          <w:sz w:val="24"/>
        </w:rPr>
        <w:t>les</w:t>
      </w:r>
      <w:proofErr w:type="spellEnd"/>
    </w:p>
    <w:p w:rsidR="00AF1FF8" w:rsidRP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before="100" w:beforeAutospacing="1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FF8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1 –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Table analysis of variance for the number of sprouts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9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459"/>
        <w:gridCol w:w="1508"/>
        <w:gridCol w:w="1484"/>
        <w:gridCol w:w="1187"/>
        <w:gridCol w:w="1187"/>
      </w:tblGrid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45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48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18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18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AF1FF8">
        <w:trPr>
          <w:trHeight w:val="307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AF1FF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LOCKS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1822,20673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911,103366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4,098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0,0245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90,475507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30,1585502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0,136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0,9383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287,109237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71,777309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0,323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0,8609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*NAA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5953,69807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496,141506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2,232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0,03*</w:t>
            </w:r>
          </w:p>
        </w:tc>
      </w:tr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8.449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222,329382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Total </w:t>
            </w:r>
            <w:proofErr w:type="spellStart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fixed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16602,0061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AF1FF8">
        <w:trPr>
          <w:trHeight w:val="250"/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 (%)=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AF1FF8">
        <w:trPr>
          <w:trHeight w:val="293"/>
          <w:jc w:val="center"/>
        </w:trPr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verall </w:t>
            </w:r>
            <w:proofErr w:type="spellStart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average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59,647222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F1FF8" w:rsidRPr="00AF1F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umber</w:t>
            </w:r>
            <w:proofErr w:type="spellEnd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observations</w:t>
            </w:r>
            <w:proofErr w:type="spellEnd"/>
          </w:p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AF1FF8" w:rsidRPr="00F419F8" w:rsidRDefault="00AF1FF8" w:rsidP="00AF1FF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</w:tbl>
    <w:p w:rsidR="00AF1FF8" w:rsidRP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FF8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AF1FF8">
        <w:rPr>
          <w:lang w:val="en-US"/>
        </w:rPr>
        <w:t xml:space="preserve"> 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>Significant at 5% probability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F1F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ns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spellEnd"/>
      <w:proofErr w:type="gramEnd"/>
      <w:r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significant.</w:t>
      </w:r>
    </w:p>
    <w:p w:rsidR="00AF1FF8" w:rsidRP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1FF8" w:rsidRPr="0082499C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499C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="0082499C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 2 – </w:t>
      </w:r>
      <w:r w:rsidR="0082499C">
        <w:rPr>
          <w:rFonts w:ascii="Times New Roman" w:hAnsi="Times New Roman" w:cs="Times New Roman"/>
          <w:sz w:val="24"/>
          <w:szCs w:val="24"/>
          <w:lang w:val="en-US"/>
        </w:rPr>
        <w:t>Table analysis of variance for NA</w:t>
      </w:r>
      <w:r w:rsidR="0082499C"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A unfolding within each level </w:t>
      </w:r>
      <w:proofErr w:type="gramStart"/>
      <w:r w:rsidR="0082499C" w:rsidRPr="008249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4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499C"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249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8249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1486"/>
        <w:gridCol w:w="1536"/>
        <w:gridCol w:w="1511"/>
        <w:gridCol w:w="1209"/>
        <w:gridCol w:w="1209"/>
      </w:tblGrid>
      <w:tr w:rsidR="00AF1FF8" w:rsidRPr="00F419F8" w:rsidTr="00264E0F">
        <w:trPr>
          <w:trHeight w:val="265"/>
        </w:trPr>
        <w:tc>
          <w:tcPr>
            <w:tcW w:w="21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48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5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2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20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628,044671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157,011168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0,706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0,592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2105,26678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526,316694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2,367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0,0694*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1347,30323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336,825809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1,515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0,2164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4    4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2160,19263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540,048157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2,429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0,0639*</w:t>
            </w:r>
          </w:p>
        </w:tc>
      </w:tr>
      <w:tr w:rsidR="00AF1FF8" w:rsidRPr="00F419F8" w:rsidTr="00264E0F">
        <w:trPr>
          <w:trHeight w:val="265"/>
        </w:trPr>
        <w:tc>
          <w:tcPr>
            <w:tcW w:w="21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8.449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222,329382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2499C" w:rsidRPr="00AF1FF8" w:rsidRDefault="00AF1FF8" w:rsidP="0082499C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19F8">
        <w:rPr>
          <w:rFonts w:ascii="Times New Roman" w:hAnsi="Times New Roman" w:cs="Times New Roman"/>
          <w:sz w:val="24"/>
          <w:szCs w:val="24"/>
        </w:rPr>
        <w:t>1= 60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>O; 2= 120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>O; 3= 240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>O; 4= 480 Kg ha</w:t>
      </w:r>
      <w:r w:rsidRPr="00F419F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419F8">
        <w:rPr>
          <w:rFonts w:ascii="Times New Roman" w:hAnsi="Times New Roman" w:cs="Times New Roman"/>
          <w:sz w:val="24"/>
          <w:szCs w:val="24"/>
        </w:rPr>
        <w:t>K</w:t>
      </w:r>
      <w:r w:rsidRPr="00F419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19F8">
        <w:rPr>
          <w:rFonts w:ascii="Times New Roman" w:hAnsi="Times New Roman" w:cs="Times New Roman"/>
          <w:sz w:val="24"/>
          <w:szCs w:val="24"/>
        </w:rPr>
        <w:t xml:space="preserve">O. </w:t>
      </w:r>
      <w:r w:rsidR="0082499C" w:rsidRPr="00AF1FF8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82499C" w:rsidRPr="00AF1FF8">
        <w:rPr>
          <w:lang w:val="en-US"/>
        </w:rPr>
        <w:t xml:space="preserve"> </w:t>
      </w:r>
      <w:r w:rsidR="0082499C"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Significant at 5% probability. </w:t>
      </w:r>
      <w:r w:rsidR="00824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2499C" w:rsidRPr="00AF1F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ns</w:t>
      </w:r>
      <w:r w:rsidR="0082499C" w:rsidRPr="00AF1FF8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spellEnd"/>
      <w:proofErr w:type="gramEnd"/>
      <w:r w:rsidR="0082499C"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significant.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99C" w:rsidRPr="00F419F8" w:rsidRDefault="0082499C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FF8" w:rsidRPr="0082499C" w:rsidRDefault="0082499C" w:rsidP="00AF1FF8">
      <w:pPr>
        <w:spacing w:after="0" w:line="480" w:lineRule="auto"/>
        <w:ind w:right="-2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</w:t>
      </w:r>
      <w:r w:rsidR="00AF1FF8"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 3 – 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Table analysis of variance for thick shoots.</w:t>
      </w:r>
    </w:p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1537"/>
        <w:gridCol w:w="1537"/>
        <w:gridCol w:w="1362"/>
        <w:gridCol w:w="1207"/>
        <w:gridCol w:w="1207"/>
      </w:tblGrid>
      <w:tr w:rsidR="00AF1FF8" w:rsidRPr="00F419F8" w:rsidTr="00264E0F">
        <w:trPr>
          <w:trHeight w:val="212"/>
        </w:trPr>
        <w:tc>
          <w:tcPr>
            <w:tcW w:w="2255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3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362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20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20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82499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0,599974</w:t>
            </w:r>
          </w:p>
        </w:tc>
        <w:tc>
          <w:tcPr>
            <w:tcW w:w="13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0,299987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1,178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0,319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0,691415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0,230472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0,4478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1,131868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0,282967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0,3656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O*ANA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2,920882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0,243407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0,5055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9,679472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0,254723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82499C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fixed</w:t>
            </w:r>
            <w:proofErr w:type="spellEnd"/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15,023612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 (%)=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12,85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12"/>
        </w:trPr>
        <w:tc>
          <w:tcPr>
            <w:tcW w:w="22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82499C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verall </w:t>
            </w:r>
            <w:proofErr w:type="spellStart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average</w:t>
            </w:r>
            <w:proofErr w:type="spellEnd"/>
            <w:r w:rsidR="00AF1FF8"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3,9265742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82499C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observations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</w:tbl>
    <w:p w:rsidR="0082499C" w:rsidRDefault="0082499C" w:rsidP="00AF1FF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F1F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ns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spellEnd"/>
      <w:proofErr w:type="gramEnd"/>
      <w:r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significant.</w:t>
      </w:r>
    </w:p>
    <w:p w:rsidR="00AF1FF8" w:rsidRPr="0082499C" w:rsidRDefault="0082499C" w:rsidP="0082499C">
      <w:pPr>
        <w:spacing w:before="240"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AF1FF8"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 4 – 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Table analysis of variance for long shoots.</w:t>
      </w:r>
    </w:p>
    <w:tbl>
      <w:tblPr>
        <w:tblW w:w="9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1495"/>
        <w:gridCol w:w="1565"/>
        <w:gridCol w:w="1496"/>
        <w:gridCol w:w="1197"/>
        <w:gridCol w:w="1197"/>
      </w:tblGrid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FV</w:t>
            </w:r>
          </w:p>
        </w:tc>
        <w:tc>
          <w:tcPr>
            <w:tcW w:w="149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</w:t>
            </w:r>
          </w:p>
        </w:tc>
        <w:tc>
          <w:tcPr>
            <w:tcW w:w="156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SQ</w:t>
            </w:r>
          </w:p>
        </w:tc>
        <w:tc>
          <w:tcPr>
            <w:tcW w:w="149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QM</w:t>
            </w:r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</w:t>
            </w: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Fc</w:t>
            </w:r>
            <w:proofErr w:type="spellEnd"/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82499C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BLOCK</w:t>
            </w:r>
            <w:r w:rsidR="00AF1FF8"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0,97639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0,488195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0,9609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58,095017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19,365006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0,2092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46,463272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11,615818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0,4459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t-BR"/>
              </w:rPr>
              <w:t>2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96,662917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8,055243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0,659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0,7783</w:t>
            </w: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ns</w:t>
            </w: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Erro</w:t>
            </w:r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464.572.711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12,225598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82499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Total </w:t>
            </w:r>
            <w:proofErr w:type="spellStart"/>
            <w:r w:rsidR="0082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fixed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666,770307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CV (%)=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21,92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F1FF8" w:rsidRPr="00F419F8" w:rsidTr="00264E0F">
        <w:trPr>
          <w:trHeight w:val="267"/>
        </w:trPr>
        <w:tc>
          <w:tcPr>
            <w:tcW w:w="214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FF8" w:rsidRPr="00F419F8" w:rsidRDefault="0082499C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verall </w:t>
            </w:r>
            <w:proofErr w:type="spellStart"/>
            <w:r w:rsidRPr="00AF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average</w:t>
            </w:r>
            <w:proofErr w:type="spellEnd"/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15,9526853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82499C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observations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FF8" w:rsidRPr="00F419F8" w:rsidRDefault="00AF1FF8" w:rsidP="00264E0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</w:tbl>
    <w:p w:rsidR="00AF1FF8" w:rsidRDefault="0082499C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AF1F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ns</w:t>
      </w:r>
      <w:r w:rsidRPr="00AF1FF8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spellEnd"/>
      <w:proofErr w:type="gramEnd"/>
      <w:r w:rsidRPr="00AF1FF8">
        <w:rPr>
          <w:rFonts w:ascii="Times New Roman" w:hAnsi="Times New Roman" w:cs="Times New Roman"/>
          <w:sz w:val="24"/>
          <w:szCs w:val="24"/>
          <w:lang w:val="en-US"/>
        </w:rPr>
        <w:t xml:space="preserve"> significant.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82499C" w:rsidRDefault="0082499C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AF1FF8" w:rsidRDefault="0082499C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Figure</w:t>
      </w:r>
      <w:r w:rsidR="00AF1FF8" w:rsidRPr="00AF1FF8">
        <w:rPr>
          <w:rFonts w:ascii="Times New Roman" w:hAnsi="Times New Roman" w:cs="Times New Roman"/>
          <w:b/>
          <w:sz w:val="24"/>
        </w:rPr>
        <w:t>s</w:t>
      </w:r>
    </w:p>
    <w:p w:rsidR="00AF1FF8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F419F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39BD16E" wp14:editId="3BBE5BD4">
            <wp:extent cx="5400040" cy="2668780"/>
            <wp:effectExtent l="0" t="0" r="10160" b="1778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1FF8" w:rsidRPr="0082499C" w:rsidRDefault="0082499C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proofErr w:type="gramStart"/>
      <w:r w:rsidRPr="0082499C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Effect of different doses of 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A associated with dosage of 120 kg ha</w:t>
      </w:r>
      <w:r w:rsidRPr="008249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- 1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 xml:space="preserve"> of K</w:t>
      </w:r>
      <w:r w:rsidRPr="0082499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2499C">
        <w:rPr>
          <w:rFonts w:ascii="Times New Roman" w:hAnsi="Times New Roman" w:cs="Times New Roman"/>
          <w:sz w:val="24"/>
          <w:szCs w:val="24"/>
          <w:lang w:val="en-US"/>
        </w:rPr>
        <w:t>O in the coffee sprouting.</w:t>
      </w:r>
    </w:p>
    <w:p w:rsidR="00AF1FF8" w:rsidRPr="0082499C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1FF8" w:rsidRPr="00F419F8" w:rsidRDefault="00AF1FF8" w:rsidP="00AF1FF8">
      <w:pPr>
        <w:spacing w:before="100" w:beforeAutospacing="1" w:after="100" w:afterAutospacing="1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9F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0D59907" wp14:editId="6D5C602E">
            <wp:extent cx="5759450" cy="2847600"/>
            <wp:effectExtent l="0" t="0" r="12700" b="1016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1FF8" w:rsidRPr="0082499C" w:rsidRDefault="0082499C" w:rsidP="00AF1FF8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noProof/>
          <w:sz w:val="24"/>
          <w:szCs w:val="24"/>
          <w:lang w:val="en-US" w:eastAsia="pt-BR"/>
        </w:rPr>
      </w:pPr>
      <w:r w:rsidRPr="0082499C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Figure 2 </w:t>
      </w:r>
      <w:r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- Effect of different doses of </w:t>
      </w:r>
      <w:r w:rsidRPr="0082499C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N</w:t>
      </w:r>
      <w:r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A</w:t>
      </w:r>
      <w:r w:rsidRPr="0082499C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A associated with dosage of 480 kg ha</w:t>
      </w:r>
      <w:r w:rsidRPr="0082499C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pt-BR"/>
        </w:rPr>
        <w:t>- 1</w:t>
      </w:r>
      <w:r w:rsidRPr="0082499C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 of K</w:t>
      </w:r>
      <w:r w:rsidRPr="0082499C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pt-BR"/>
        </w:rPr>
        <w:t>2</w:t>
      </w:r>
      <w:r w:rsidRPr="0082499C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>O in the coffee sprouting.</w:t>
      </w:r>
    </w:p>
    <w:p w:rsidR="00AF1FF8" w:rsidRPr="0082499C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F1FF8" w:rsidRPr="0082499C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AF1FF8" w:rsidRPr="0082499C" w:rsidRDefault="00AF1FF8" w:rsidP="00AF1FF8">
      <w:pPr>
        <w:tabs>
          <w:tab w:val="left" w:pos="4962"/>
          <w:tab w:val="left" w:pos="5245"/>
          <w:tab w:val="left" w:pos="5387"/>
          <w:tab w:val="left" w:pos="5529"/>
          <w:tab w:val="left" w:pos="8222"/>
          <w:tab w:val="left" w:pos="8647"/>
          <w:tab w:val="left" w:pos="8789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sectPr w:rsidR="00AF1FF8" w:rsidRPr="00824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F8"/>
    <w:rsid w:val="00005B11"/>
    <w:rsid w:val="004A327F"/>
    <w:rsid w:val="0082499C"/>
    <w:rsid w:val="00A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0E450-DF94-4403-A8BD-248911C3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lo%20Baroni\Desktop\Agronomia\Mat&#233;rias\10&#176;%20Per&#237;odo\TCC%20II\Analises\Estat&#237;stica%20roda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lo%20Baroni\Desktop\Agronomia\Mat&#233;rias\10&#176;%20Per&#237;odo\TCC%20II\Analises\Estat&#237;stica%20roda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lo%20Baroni\Desktop\Agronomia\Mat&#233;rias\10&#176;%20Per&#237;odo\TCC%20II\Analises\Estat&#237;stica%20roda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lo%20Baroni\Desktop\Agronomia\Mat&#233;rias\10&#176;%20Per&#237;odo\TCC%20II\Analises\Estat&#237;stica%20rod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44113531549897"/>
          <c:y val="5.1400554097404488E-2"/>
          <c:w val="0.78933505551553695"/>
          <c:h val="0.73444808982210552"/>
        </c:manualLayout>
      </c:layout>
      <c:scatterChart>
        <c:scatterStyle val="lineMarker"/>
        <c:varyColors val="0"/>
        <c:ser>
          <c:idx val="0"/>
          <c:order val="0"/>
          <c:spPr>
            <a:ln>
              <a:noFill/>
            </a:ln>
            <a:effectLst>
              <a:glow rad="127000">
                <a:schemeClr val="bg1"/>
              </a:glow>
            </a:effectLst>
          </c:spPr>
          <c:marker>
            <c:symbol val="circle"/>
            <c:size val="5"/>
            <c:spPr>
              <a:solidFill>
                <a:schemeClr val="tx1"/>
              </a:solidFill>
              <a:ln>
                <a:noFill/>
              </a:ln>
              <a:effectLst>
                <a:glow rad="127000">
                  <a:schemeClr val="bg1"/>
                </a:glow>
              </a:effectLst>
            </c:spPr>
          </c:marker>
          <c:trendline>
            <c:spPr>
              <a:ln w="19050">
                <a:prstDash val="sysDash"/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18483694496865577"/>
                  <c:y val="-0.42801674874252771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y = 0,0003x</a:t>
                    </a:r>
                    <a:r>
                      <a:rPr lang="en-US" sz="900" baseline="300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2</a:t>
                    </a:r>
                    <a:r>
                      <a:rPr lang="en-US" sz="90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- 0,2064x + 75,994
R² = 90,03%</a:t>
                    </a:r>
                    <a:endParaRPr lang="en-US" sz="90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Plan3!$B$3:$B$7</c:f>
              <c:numCache>
                <c:formatCode>General</c:formatCode>
                <c:ptCount val="5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250</c:v>
                </c:pt>
                <c:pt idx="4">
                  <c:v>500</c:v>
                </c:pt>
              </c:numCache>
            </c:numRef>
          </c:xVal>
          <c:yVal>
            <c:numRef>
              <c:f>Plan3!$C$3:$C$7</c:f>
              <c:numCache>
                <c:formatCode>General</c:formatCode>
                <c:ptCount val="5"/>
                <c:pt idx="0">
                  <c:v>75.993690000000029</c:v>
                </c:pt>
                <c:pt idx="1">
                  <c:v>66.456189999999992</c:v>
                </c:pt>
                <c:pt idx="2">
                  <c:v>58.488690000000005</c:v>
                </c:pt>
                <c:pt idx="3">
                  <c:v>44.006190000000011</c:v>
                </c:pt>
                <c:pt idx="4">
                  <c:v>51.268690000000021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3810024"/>
        <c:axId val="393810808"/>
      </c:scatterChart>
      <c:valAx>
        <c:axId val="393810024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900"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900" b="0">
                    <a:latin typeface="Arial" panose="020B0604020202020204" pitchFamily="34" charset="0"/>
                    <a:cs typeface="Arial" panose="020B0604020202020204" pitchFamily="34" charset="0"/>
                  </a:rPr>
                  <a:t>Dosagens de ANA (mg L</a:t>
                </a:r>
                <a:r>
                  <a:rPr lang="en-US" sz="900" b="0" baseline="30000">
                    <a:latin typeface="Arial" panose="020B0604020202020204" pitchFamily="34" charset="0"/>
                    <a:cs typeface="Arial" panose="020B0604020202020204" pitchFamily="34" charset="0"/>
                  </a:rPr>
                  <a:t>-1</a:t>
                </a:r>
                <a:r>
                  <a:rPr lang="en-US" sz="900" b="0">
                    <a:latin typeface="Arial" panose="020B0604020202020204" pitchFamily="34" charset="0"/>
                    <a:cs typeface="Arial" panose="020B0604020202020204" pitchFamily="34" charset="0"/>
                  </a:rPr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393810808"/>
        <c:crosses val="autoZero"/>
        <c:crossBetween val="midCat"/>
        <c:majorUnit val="50"/>
      </c:valAx>
      <c:valAx>
        <c:axId val="393810808"/>
        <c:scaling>
          <c:orientation val="minMax"/>
          <c:min val="4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 sz="900" b="0">
                    <a:latin typeface="Arial" panose="020B0604020202020204" pitchFamily="34" charset="0"/>
                    <a:cs typeface="Arial" panose="020B0604020202020204" pitchFamily="34" charset="0"/>
                  </a:rPr>
                  <a:t>Número</a:t>
                </a:r>
                <a:r>
                  <a:rPr lang="pt-BR" sz="900" b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 de brotos</a:t>
                </a:r>
                <a:endParaRPr lang="pt-BR" sz="900" b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3938100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04294917680746"/>
          <c:y val="3.7276337267136112E-2"/>
          <c:w val="0.84616559293724647"/>
          <c:h val="0.7595957276173812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  <a:effectLst>
              <a:glow rad="127000">
                <a:schemeClr val="bg1"/>
              </a:glow>
            </a:effectLst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spPr>
              <a:ln w="19050">
                <a:prstDash val="sysDash"/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21808300654173196"/>
                  <c:y val="0.2655975063922911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-0,0003x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+ 0,1956x + 42,816
R² = 70,3%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Plan3!$M$3:$M$7</c:f>
              <c:numCache>
                <c:formatCode>General</c:formatCode>
                <c:ptCount val="5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250</c:v>
                </c:pt>
                <c:pt idx="4">
                  <c:v>500</c:v>
                </c:pt>
              </c:numCache>
            </c:numRef>
          </c:xVal>
          <c:yVal>
            <c:numRef>
              <c:f>Plan3!$N$3:$N$7</c:f>
              <c:numCache>
                <c:formatCode>General</c:formatCode>
                <c:ptCount val="5"/>
                <c:pt idx="0">
                  <c:v>42.815606000000002</c:v>
                </c:pt>
                <c:pt idx="1">
                  <c:v>51.821156000000002</c:v>
                </c:pt>
                <c:pt idx="2">
                  <c:v>59.281706</c:v>
                </c:pt>
                <c:pt idx="3">
                  <c:v>72.393356000000011</c:v>
                </c:pt>
                <c:pt idx="4">
                  <c:v>63.34610600000002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0201192"/>
        <c:axId val="320200408"/>
      </c:scatterChart>
      <c:valAx>
        <c:axId val="320201192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Dosagens de ANA (mg L</a:t>
                </a:r>
                <a:r>
                  <a:rPr lang="en-US" b="0" baseline="30000"/>
                  <a:t>-1</a:t>
                </a:r>
                <a:r>
                  <a:rPr lang="en-US" b="0"/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20200408"/>
        <c:crosses val="autoZero"/>
        <c:crossBetween val="midCat"/>
        <c:majorUnit val="50"/>
      </c:valAx>
      <c:valAx>
        <c:axId val="320200408"/>
        <c:scaling>
          <c:orientation val="minMax"/>
          <c:max val="75"/>
          <c:min val="4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Número de brotos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2020119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44113531549897"/>
          <c:y val="5.1400554097404488E-2"/>
          <c:w val="0.78933505551553695"/>
          <c:h val="0.73444808982210552"/>
        </c:manualLayout>
      </c:layout>
      <c:scatterChart>
        <c:scatterStyle val="lineMarker"/>
        <c:varyColors val="0"/>
        <c:ser>
          <c:idx val="0"/>
          <c:order val="0"/>
          <c:spPr>
            <a:ln>
              <a:noFill/>
            </a:ln>
            <a:effectLst>
              <a:glow rad="127000">
                <a:schemeClr val="bg1"/>
              </a:glow>
            </a:effectLst>
          </c:spPr>
          <c:marker>
            <c:symbol val="circle"/>
            <c:size val="5"/>
            <c:spPr>
              <a:solidFill>
                <a:schemeClr val="tx1"/>
              </a:solidFill>
              <a:ln>
                <a:noFill/>
              </a:ln>
              <a:effectLst>
                <a:glow rad="127000">
                  <a:schemeClr val="bg1"/>
                </a:glow>
              </a:effectLst>
            </c:spPr>
          </c:marker>
          <c:trendline>
            <c:spPr>
              <a:ln w="19050">
                <a:prstDash val="sysDash"/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18483694496865577"/>
                  <c:y val="-0.42801674874252771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y = 0,0003x</a:t>
                    </a:r>
                    <a:r>
                      <a:rPr lang="en-US" sz="900" baseline="300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2</a:t>
                    </a:r>
                    <a:r>
                      <a:rPr lang="en-US" sz="90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- 0,2064x + 75,994
R² = 90,03%</a:t>
                    </a:r>
                    <a:endParaRPr lang="en-US" sz="90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Plan3!$B$3:$B$7</c:f>
              <c:numCache>
                <c:formatCode>General</c:formatCode>
                <c:ptCount val="5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250</c:v>
                </c:pt>
                <c:pt idx="4">
                  <c:v>500</c:v>
                </c:pt>
              </c:numCache>
            </c:numRef>
          </c:xVal>
          <c:yVal>
            <c:numRef>
              <c:f>Plan3!$C$3:$C$7</c:f>
              <c:numCache>
                <c:formatCode>General</c:formatCode>
                <c:ptCount val="5"/>
                <c:pt idx="0">
                  <c:v>75.993690000000029</c:v>
                </c:pt>
                <c:pt idx="1">
                  <c:v>66.456189999999992</c:v>
                </c:pt>
                <c:pt idx="2">
                  <c:v>58.488690000000005</c:v>
                </c:pt>
                <c:pt idx="3">
                  <c:v>44.006190000000011</c:v>
                </c:pt>
                <c:pt idx="4">
                  <c:v>51.268690000000021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4268320"/>
        <c:axId val="484267536"/>
      </c:scatterChart>
      <c:valAx>
        <c:axId val="484268320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900"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900" b="0">
                    <a:latin typeface="Arial" panose="020B0604020202020204" pitchFamily="34" charset="0"/>
                    <a:cs typeface="Arial" panose="020B0604020202020204" pitchFamily="34" charset="0"/>
                  </a:rPr>
                  <a:t>Dosages of NAA (mg L</a:t>
                </a:r>
                <a:r>
                  <a:rPr lang="en-US" sz="900" b="0" baseline="30000">
                    <a:latin typeface="Arial" panose="020B0604020202020204" pitchFamily="34" charset="0"/>
                    <a:cs typeface="Arial" panose="020B0604020202020204" pitchFamily="34" charset="0"/>
                  </a:rPr>
                  <a:t>-1</a:t>
                </a:r>
                <a:r>
                  <a:rPr lang="en-US" sz="900" b="0">
                    <a:latin typeface="Arial" panose="020B0604020202020204" pitchFamily="34" charset="0"/>
                    <a:cs typeface="Arial" panose="020B0604020202020204" pitchFamily="34" charset="0"/>
                  </a:rPr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484267536"/>
        <c:crosses val="autoZero"/>
        <c:crossBetween val="midCat"/>
        <c:majorUnit val="50"/>
      </c:valAx>
      <c:valAx>
        <c:axId val="484267536"/>
        <c:scaling>
          <c:orientation val="minMax"/>
          <c:min val="4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 sz="900" b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Number of shoots</a:t>
                </a:r>
                <a:endParaRPr lang="pt-BR" sz="900" b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48426832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04294917680746"/>
          <c:y val="3.7276337267136112E-2"/>
          <c:w val="0.84616559293724647"/>
          <c:h val="0.7595957276173812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  <a:effectLst>
              <a:glow rad="127000">
                <a:schemeClr val="bg1"/>
              </a:glow>
            </a:effectLst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spPr>
              <a:ln w="19050">
                <a:prstDash val="sysDash"/>
              </a:ln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21808300654173196"/>
                  <c:y val="0.2655975063922911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-0,0003x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+ 0,1956x + 42,816
R² = 70,3%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Plan3!$M$3:$M$7</c:f>
              <c:numCache>
                <c:formatCode>General</c:formatCode>
                <c:ptCount val="5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250</c:v>
                </c:pt>
                <c:pt idx="4">
                  <c:v>500</c:v>
                </c:pt>
              </c:numCache>
            </c:numRef>
          </c:xVal>
          <c:yVal>
            <c:numRef>
              <c:f>Plan3!$N$3:$N$7</c:f>
              <c:numCache>
                <c:formatCode>General</c:formatCode>
                <c:ptCount val="5"/>
                <c:pt idx="0">
                  <c:v>42.815606000000002</c:v>
                </c:pt>
                <c:pt idx="1">
                  <c:v>51.821156000000002</c:v>
                </c:pt>
                <c:pt idx="2">
                  <c:v>59.281706</c:v>
                </c:pt>
                <c:pt idx="3">
                  <c:v>72.393356000000011</c:v>
                </c:pt>
                <c:pt idx="4">
                  <c:v>63.34610600000002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4503536"/>
        <c:axId val="394462888"/>
      </c:scatterChart>
      <c:valAx>
        <c:axId val="394503536"/>
        <c:scaling>
          <c:orientation val="minMax"/>
          <c:max val="5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Dosages of NAA (mg L</a:t>
                </a:r>
                <a:r>
                  <a:rPr lang="en-US" b="0" baseline="30000"/>
                  <a:t>-1</a:t>
                </a:r>
                <a:r>
                  <a:rPr lang="en-US" b="0"/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94462888"/>
        <c:crosses val="autoZero"/>
        <c:crossBetween val="midCat"/>
        <c:majorUnit val="50"/>
      </c:valAx>
      <c:valAx>
        <c:axId val="394462888"/>
        <c:scaling>
          <c:orientation val="minMax"/>
          <c:max val="75"/>
          <c:min val="4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Number</a:t>
                </a:r>
                <a:r>
                  <a:rPr lang="en-US" b="0" baseline="0"/>
                  <a:t> of shoots</a:t>
                </a:r>
                <a:endParaRPr lang="en-US" b="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94503536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2016-07-10T05:06:00Z</dcterms:created>
  <dcterms:modified xsi:type="dcterms:W3CDTF">2016-07-10T05:25:00Z</dcterms:modified>
</cp:coreProperties>
</file>